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DE" w:rsidRDefault="00C66EDE" w:rsidP="00C66EDE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Screening for Great Stocks</w:t>
      </w:r>
    </w:p>
    <w:p w:rsidR="004E6B67" w:rsidRDefault="00FD77F9" w:rsidP="004E6B67">
      <w:pPr>
        <w:rPr>
          <w:rFonts w:asciiTheme="majorHAnsi" w:hAnsiTheme="majorHAnsi"/>
        </w:rPr>
      </w:pPr>
      <w:hyperlink r:id="rId6" w:history="1">
        <w:r w:rsidR="004E6B67" w:rsidRPr="00A74F3A">
          <w:rPr>
            <w:rStyle w:val="Hyperlink"/>
            <w:rFonts w:asciiTheme="majorHAnsi" w:hAnsiTheme="majorHAnsi"/>
          </w:rPr>
          <w:t>http://www.stockrover.com/webinar-outline.html</w:t>
        </w:r>
      </w:hyperlink>
    </w:p>
    <w:p w:rsidR="006B0421" w:rsidRDefault="004E6B67" w:rsidP="006A5F86">
      <w:pPr>
        <w:pStyle w:val="Heading1"/>
      </w:pPr>
      <w:r>
        <w:t>A</w:t>
      </w:r>
      <w:r w:rsidR="006A5F86">
        <w:t>ssess the Market</w:t>
      </w:r>
    </w:p>
    <w:p w:rsidR="006A5F86" w:rsidRDefault="006A5F86" w:rsidP="006A5F86">
      <w:pPr>
        <w:pStyle w:val="ListParagraph"/>
        <w:numPr>
          <w:ilvl w:val="0"/>
          <w:numId w:val="20"/>
        </w:numPr>
      </w:pPr>
      <w:r>
        <w:t>Strength of the Market as a whole</w:t>
      </w:r>
    </w:p>
    <w:p w:rsidR="007A3342" w:rsidRDefault="007A3342" w:rsidP="009D406D">
      <w:pPr>
        <w:pStyle w:val="ListParagraph"/>
        <w:numPr>
          <w:ilvl w:val="1"/>
          <w:numId w:val="20"/>
        </w:numPr>
      </w:pPr>
      <w:r>
        <w:t>Chart S&amp;P 500</w:t>
      </w:r>
    </w:p>
    <w:p w:rsidR="009D406D" w:rsidRDefault="007A3342" w:rsidP="009D406D">
      <w:pPr>
        <w:pStyle w:val="ListParagraph"/>
        <w:numPr>
          <w:ilvl w:val="1"/>
          <w:numId w:val="20"/>
        </w:numPr>
      </w:pPr>
      <w:r>
        <w:t>L</w:t>
      </w:r>
      <w:r w:rsidR="009D406D">
        <w:t xml:space="preserve">ook at </w:t>
      </w:r>
      <w:r>
        <w:t xml:space="preserve">trend and strength of trend via </w:t>
      </w:r>
      <w:r w:rsidR="009D406D">
        <w:t>Simple Moving Averages</w:t>
      </w:r>
    </w:p>
    <w:p w:rsidR="006A5F86" w:rsidRDefault="00A16BD3" w:rsidP="006A5F86">
      <w:pPr>
        <w:pStyle w:val="Heading1"/>
      </w:pPr>
      <w:r>
        <w:t xml:space="preserve">Determine </w:t>
      </w:r>
      <w:r w:rsidR="006A5F86">
        <w:t>What’s in and What’s Out</w:t>
      </w:r>
    </w:p>
    <w:p w:rsidR="009D406D" w:rsidRDefault="007A3342" w:rsidP="009D406D">
      <w:pPr>
        <w:pStyle w:val="ListParagraph"/>
        <w:numPr>
          <w:ilvl w:val="0"/>
          <w:numId w:val="20"/>
        </w:numPr>
      </w:pPr>
      <w:r>
        <w:t>Can u</w:t>
      </w:r>
      <w:r w:rsidR="009D406D">
        <w:t>se key ETFs as proxies</w:t>
      </w:r>
    </w:p>
    <w:p w:rsidR="009D406D" w:rsidRDefault="009D406D" w:rsidP="007A3342">
      <w:pPr>
        <w:pStyle w:val="ListParagraph"/>
        <w:numPr>
          <w:ilvl w:val="1"/>
          <w:numId w:val="20"/>
        </w:numPr>
      </w:pPr>
      <w:r>
        <w:t>Create watchlists</w:t>
      </w:r>
      <w:r w:rsidR="00151E7B">
        <w:t xml:space="preserve"> </w:t>
      </w:r>
      <w:r w:rsidR="007A3342">
        <w:t xml:space="preserve">of ETFs </w:t>
      </w:r>
      <w:r>
        <w:t>and chart</w:t>
      </w:r>
      <w:r w:rsidR="00151E7B">
        <w:t xml:space="preserve"> their performance</w:t>
      </w:r>
    </w:p>
    <w:p w:rsidR="009D406D" w:rsidRPr="009D406D" w:rsidRDefault="009D406D" w:rsidP="009D406D">
      <w:pPr>
        <w:pStyle w:val="ListParagraph"/>
        <w:numPr>
          <w:ilvl w:val="0"/>
          <w:numId w:val="20"/>
        </w:numPr>
      </w:pPr>
      <w:r>
        <w:t>Look at performance of</w:t>
      </w:r>
    </w:p>
    <w:p w:rsidR="006A5F86" w:rsidRPr="006A5F86" w:rsidRDefault="006A5F86" w:rsidP="009D406D">
      <w:pPr>
        <w:pStyle w:val="ListParagraph"/>
        <w:numPr>
          <w:ilvl w:val="1"/>
          <w:numId w:val="20"/>
        </w:numPr>
      </w:pPr>
      <w:r w:rsidRPr="006A5F86">
        <w:t>Growth vs. Value</w:t>
      </w:r>
    </w:p>
    <w:p w:rsidR="006A5F86" w:rsidRPr="006A5F86" w:rsidRDefault="006A5F86" w:rsidP="009D406D">
      <w:pPr>
        <w:pStyle w:val="ListParagraph"/>
        <w:numPr>
          <w:ilvl w:val="1"/>
          <w:numId w:val="20"/>
        </w:numPr>
      </w:pPr>
      <w:r w:rsidRPr="006A5F86">
        <w:t>Small Cap vs. Mid Cap vs. Large Cap</w:t>
      </w:r>
    </w:p>
    <w:p w:rsidR="006A5F86" w:rsidRPr="006A5F86" w:rsidRDefault="007A3342" w:rsidP="007A3342">
      <w:pPr>
        <w:pStyle w:val="ListParagraph"/>
        <w:numPr>
          <w:ilvl w:val="1"/>
          <w:numId w:val="20"/>
        </w:numPr>
      </w:pPr>
      <w:r>
        <w:t>Chart i</w:t>
      </w:r>
      <w:r w:rsidR="009D406D">
        <w:t>ndividual s</w:t>
      </w:r>
      <w:r w:rsidR="006A5F86" w:rsidRPr="006A5F86">
        <w:t>ectors</w:t>
      </w:r>
    </w:p>
    <w:p w:rsidR="00B57FD6" w:rsidRDefault="00B57FD6" w:rsidP="00B57FD6">
      <w:pPr>
        <w:pStyle w:val="Heading1"/>
      </w:pPr>
      <w:r>
        <w:t>Select Screeners and Screen</w:t>
      </w:r>
    </w:p>
    <w:p w:rsidR="009D406D" w:rsidRDefault="009D406D" w:rsidP="00B57FD6">
      <w:pPr>
        <w:pStyle w:val="ListParagraph"/>
        <w:numPr>
          <w:ilvl w:val="0"/>
          <w:numId w:val="20"/>
        </w:numPr>
      </w:pPr>
      <w:r>
        <w:t>Use different screeners and run to find candidates</w:t>
      </w:r>
    </w:p>
    <w:p w:rsidR="00B57FD6" w:rsidRDefault="009D406D" w:rsidP="00B57FD6">
      <w:pPr>
        <w:pStyle w:val="ListParagraph"/>
        <w:numPr>
          <w:ilvl w:val="0"/>
          <w:numId w:val="20"/>
        </w:numPr>
      </w:pPr>
      <w:r>
        <w:t xml:space="preserve">Select </w:t>
      </w:r>
      <w:r w:rsidR="00B57FD6">
        <w:t xml:space="preserve">promising </w:t>
      </w:r>
      <w:r>
        <w:t>stocks v</w:t>
      </w:r>
      <w:r w:rsidR="00B57FD6">
        <w:t xml:space="preserve">ia good technicals and strengthening </w:t>
      </w:r>
      <w:r>
        <w:t xml:space="preserve">analyst </w:t>
      </w:r>
      <w:r w:rsidR="00B57FD6">
        <w:t>estimates</w:t>
      </w:r>
    </w:p>
    <w:p w:rsidR="00FD77F9" w:rsidRDefault="00B57FD6" w:rsidP="00B57FD6">
      <w:pPr>
        <w:pStyle w:val="ListParagraph"/>
        <w:numPr>
          <w:ilvl w:val="0"/>
          <w:numId w:val="20"/>
        </w:numPr>
      </w:pPr>
      <w:r>
        <w:t>Collect into a watchlist</w:t>
      </w:r>
      <w:r w:rsidR="009D406D">
        <w:t xml:space="preserve"> and </w:t>
      </w:r>
      <w:r w:rsidR="00FD77F9">
        <w:t xml:space="preserve">optionally </w:t>
      </w:r>
      <w:r w:rsidR="009D406D">
        <w:t>tag with screene</w:t>
      </w:r>
      <w:r w:rsidR="00FD77F9">
        <w:t>r source (tagging is premium feature)</w:t>
      </w:r>
    </w:p>
    <w:p w:rsidR="00B57FD6" w:rsidRDefault="00FD77F9" w:rsidP="00FD77F9">
      <w:pPr>
        <w:pStyle w:val="ListParagraph"/>
        <w:numPr>
          <w:ilvl w:val="1"/>
          <w:numId w:val="20"/>
        </w:numPr>
      </w:pPr>
      <w:r>
        <w:t>Basic user – create separate watchlist for each screener source</w:t>
      </w:r>
    </w:p>
    <w:p w:rsidR="00FD77F9" w:rsidRDefault="00FD77F9" w:rsidP="00FD77F9">
      <w:pPr>
        <w:pStyle w:val="Heading1"/>
      </w:pPr>
      <w:r>
        <w:t>When Screening is Complete…</w:t>
      </w:r>
    </w:p>
    <w:p w:rsidR="00FD77F9" w:rsidRDefault="00FD77F9" w:rsidP="00FD77F9">
      <w:pPr>
        <w:pStyle w:val="ListParagraph"/>
        <w:numPr>
          <w:ilvl w:val="0"/>
          <w:numId w:val="20"/>
        </w:numPr>
      </w:pPr>
      <w:r>
        <w:t>Do i</w:t>
      </w:r>
      <w:r>
        <w:t xml:space="preserve">n </w:t>
      </w:r>
      <w:r>
        <w:t>d</w:t>
      </w:r>
      <w:r>
        <w:t xml:space="preserve">epth </w:t>
      </w:r>
      <w:r>
        <w:t xml:space="preserve">research </w:t>
      </w:r>
      <w:r>
        <w:t xml:space="preserve">on </w:t>
      </w:r>
      <w:r>
        <w:t>e</w:t>
      </w:r>
      <w:r>
        <w:t xml:space="preserve">ach </w:t>
      </w:r>
      <w:r>
        <w:t>c</w:t>
      </w:r>
      <w:r>
        <w:t>andidate</w:t>
      </w:r>
      <w:r>
        <w:t xml:space="preserve"> to research (described in next section)</w:t>
      </w:r>
    </w:p>
    <w:p w:rsidR="00FD77F9" w:rsidRDefault="00FD77F9" w:rsidP="00FD77F9">
      <w:pPr>
        <w:pStyle w:val="ListParagraph"/>
        <w:numPr>
          <w:ilvl w:val="0"/>
          <w:numId w:val="20"/>
        </w:numPr>
      </w:pPr>
      <w:r>
        <w:t xml:space="preserve">Goal is to decide whether the candidate stock </w:t>
      </w:r>
      <w:bookmarkStart w:id="0" w:name="_GoBack"/>
      <w:bookmarkEnd w:id="0"/>
      <w:r>
        <w:t>is a potential buy or not</w:t>
      </w:r>
    </w:p>
    <w:p w:rsidR="00FD77F9" w:rsidRDefault="00FD77F9" w:rsidP="00B57FD6">
      <w:pPr>
        <w:pStyle w:val="Heading1"/>
      </w:pPr>
      <w:r>
        <w:br w:type="page"/>
      </w:r>
    </w:p>
    <w:p w:rsidR="00B57FD6" w:rsidRPr="00B57FD6" w:rsidRDefault="009D406D" w:rsidP="00B57FD6">
      <w:pPr>
        <w:pStyle w:val="Heading2"/>
        <w:spacing w:after="120"/>
      </w:pPr>
      <w:r>
        <w:lastRenderedPageBreak/>
        <w:t xml:space="preserve">Perform Initial </w:t>
      </w:r>
      <w:r w:rsidR="00B57FD6" w:rsidRPr="00AE4BDD">
        <w:t>Fundamental Research</w:t>
      </w:r>
      <w:r w:rsidR="00B57FD6">
        <w:t xml:space="preserve"> via Views</w:t>
      </w:r>
    </w:p>
    <w:p w:rsidR="00FD77F9" w:rsidRPr="00FD77F9" w:rsidRDefault="00FD77F9" w:rsidP="00FD77F9">
      <w:pPr>
        <w:pStyle w:val="ListParagraph"/>
        <w:numPr>
          <w:ilvl w:val="0"/>
          <w:numId w:val="21"/>
        </w:numPr>
        <w:spacing w:before="0" w:after="0" w:line="240" w:lineRule="auto"/>
      </w:pPr>
      <w:r w:rsidRPr="00FD77F9">
        <w:t>Historical Valuation View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Key columns are the 5 year ranges (P/E, P/S, P/B)</w:t>
      </w:r>
    </w:p>
    <w:p w:rsidR="00FD77F9" w:rsidRPr="00FD77F9" w:rsidRDefault="00FD77F9" w:rsidP="00FD77F9">
      <w:pPr>
        <w:pStyle w:val="ListParagraph"/>
        <w:numPr>
          <w:ilvl w:val="0"/>
          <w:numId w:val="21"/>
        </w:numPr>
        <w:spacing w:before="0" w:after="0" w:line="240" w:lineRule="auto"/>
      </w:pPr>
      <w:r w:rsidRPr="00FD77F9">
        <w:t>Valuation View (expand row for ticker of interest)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EV / EBDITA over time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PEG Forward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Cash and Debt per share over time</w:t>
      </w:r>
    </w:p>
    <w:p w:rsidR="00FD77F9" w:rsidRPr="00FD77F9" w:rsidRDefault="00FD77F9" w:rsidP="00FD77F9">
      <w:pPr>
        <w:pStyle w:val="ListParagraph"/>
        <w:numPr>
          <w:ilvl w:val="0"/>
          <w:numId w:val="21"/>
        </w:numPr>
        <w:spacing w:before="0" w:after="0" w:line="240" w:lineRule="auto"/>
      </w:pPr>
      <w:r w:rsidRPr="00FD77F9">
        <w:t>Profitability View (expand row for ticker of interest)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Look at margin trajectories (Gross, Operating, Net)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Look at efficiency trajectories (ROA, ROE, ROIC)</w:t>
      </w:r>
    </w:p>
    <w:p w:rsidR="00FD77F9" w:rsidRPr="00FD77F9" w:rsidRDefault="00FD77F9" w:rsidP="00FD77F9">
      <w:pPr>
        <w:pStyle w:val="ListParagraph"/>
        <w:numPr>
          <w:ilvl w:val="0"/>
          <w:numId w:val="21"/>
        </w:numPr>
        <w:spacing w:before="0" w:after="0" w:line="240" w:lineRule="auto"/>
      </w:pPr>
      <w:r w:rsidRPr="00FD77F9">
        <w:t>Growth View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5 year sales and EPS change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Mouse over at Yearly Sales and EPS graphical columns</w:t>
      </w:r>
    </w:p>
    <w:p w:rsidR="00FD77F9" w:rsidRPr="00FD77F9" w:rsidRDefault="00FD77F9" w:rsidP="00FD77F9">
      <w:pPr>
        <w:pStyle w:val="ListParagraph"/>
        <w:numPr>
          <w:ilvl w:val="0"/>
          <w:numId w:val="21"/>
        </w:numPr>
        <w:spacing w:before="0" w:after="0" w:line="240" w:lineRule="auto"/>
      </w:pPr>
      <w:r w:rsidRPr="00FD77F9">
        <w:t>Grades View (Morningstar Grades)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Can see grade history via row expansion</w:t>
      </w:r>
    </w:p>
    <w:p w:rsidR="00FD77F9" w:rsidRPr="00FD77F9" w:rsidRDefault="00FD77F9" w:rsidP="00FD77F9">
      <w:pPr>
        <w:pStyle w:val="ListParagraph"/>
        <w:numPr>
          <w:ilvl w:val="0"/>
          <w:numId w:val="21"/>
        </w:numPr>
        <w:spacing w:before="0" w:after="0" w:line="240" w:lineRule="auto"/>
      </w:pPr>
      <w:r w:rsidRPr="00FD77F9">
        <w:t>Income Statement View (expand row for ticker of interest for trajectories over time)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Sales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Net Income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Shares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Sales Per Employee</w:t>
      </w:r>
    </w:p>
    <w:p w:rsidR="00FD77F9" w:rsidRPr="00FD77F9" w:rsidRDefault="00FD77F9" w:rsidP="00FD77F9">
      <w:pPr>
        <w:pStyle w:val="ListParagraph"/>
        <w:numPr>
          <w:ilvl w:val="0"/>
          <w:numId w:val="21"/>
        </w:numPr>
        <w:spacing w:before="0" w:after="0" w:line="240" w:lineRule="auto"/>
      </w:pPr>
      <w:r w:rsidRPr="00FD77F9">
        <w:t>Balance Sheet View (expand row for ticker of interest for trajectories over time)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Cash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Intangibles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Long Term Debt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Equity</w:t>
      </w:r>
    </w:p>
    <w:p w:rsidR="00FD77F9" w:rsidRPr="00FD77F9" w:rsidRDefault="00FD77F9" w:rsidP="00FD77F9">
      <w:pPr>
        <w:pStyle w:val="ListParagraph"/>
        <w:numPr>
          <w:ilvl w:val="1"/>
          <w:numId w:val="21"/>
        </w:numPr>
        <w:spacing w:before="0" w:after="0" w:line="240" w:lineRule="auto"/>
      </w:pPr>
      <w:r w:rsidRPr="00FD77F9">
        <w:t>Debt/Equity</w:t>
      </w:r>
    </w:p>
    <w:p w:rsidR="00B57FD6" w:rsidRDefault="00A16BD3" w:rsidP="00B57FD6">
      <w:pPr>
        <w:pStyle w:val="Heading2"/>
        <w:spacing w:after="120"/>
        <w:rPr>
          <w:sz w:val="22"/>
          <w:szCs w:val="22"/>
        </w:rPr>
      </w:pPr>
      <w:r>
        <w:t xml:space="preserve">Do </w:t>
      </w:r>
      <w:r w:rsidR="00B57FD6">
        <w:t>Additional Research</w:t>
      </w:r>
    </w:p>
    <w:p w:rsidR="00B57FD6" w:rsidRPr="00B57FD6" w:rsidRDefault="00B57FD6" w:rsidP="00B57FD6">
      <w:pPr>
        <w:pStyle w:val="ListParagraph"/>
        <w:numPr>
          <w:ilvl w:val="0"/>
          <w:numId w:val="23"/>
        </w:numPr>
        <w:spacing w:before="0" w:after="0" w:line="240" w:lineRule="auto"/>
      </w:pPr>
      <w:r w:rsidRPr="00B57FD6">
        <w:t>News</w:t>
      </w:r>
    </w:p>
    <w:p w:rsidR="00B57FD6" w:rsidRPr="00B57FD6" w:rsidRDefault="00B57FD6" w:rsidP="00B57FD6">
      <w:pPr>
        <w:pStyle w:val="ListParagraph"/>
        <w:numPr>
          <w:ilvl w:val="0"/>
          <w:numId w:val="23"/>
        </w:numPr>
        <w:spacing w:before="0" w:after="0" w:line="240" w:lineRule="auto"/>
      </w:pPr>
      <w:r w:rsidRPr="00B57FD6">
        <w:t>Insider Transactions</w:t>
      </w:r>
    </w:p>
    <w:p w:rsidR="00FD77F9" w:rsidRDefault="00FD77F9" w:rsidP="00FD77F9">
      <w:pPr>
        <w:pStyle w:val="ListParagraph"/>
        <w:numPr>
          <w:ilvl w:val="0"/>
          <w:numId w:val="23"/>
        </w:numPr>
        <w:spacing w:before="0" w:after="0" w:line="240" w:lineRule="auto"/>
      </w:pPr>
      <w:r>
        <w:t>Go to company’s web site and look</w:t>
      </w:r>
      <w:r>
        <w:t xml:space="preserve"> at investor relations page – especially presentations</w:t>
      </w:r>
    </w:p>
    <w:p w:rsidR="00FD77F9" w:rsidRDefault="00B57FD6" w:rsidP="00FD77F9">
      <w:pPr>
        <w:pStyle w:val="ListParagraph"/>
        <w:numPr>
          <w:ilvl w:val="0"/>
          <w:numId w:val="23"/>
        </w:numPr>
        <w:spacing w:before="0" w:after="0" w:line="240" w:lineRule="auto"/>
      </w:pPr>
      <w:r w:rsidRPr="00B57FD6">
        <w:t>And if you still like everything –</w:t>
      </w:r>
      <w:r>
        <w:t xml:space="preserve"> read</w:t>
      </w:r>
      <w:r w:rsidRPr="00B57FD6">
        <w:t xml:space="preserve"> </w:t>
      </w:r>
      <w:r w:rsidR="009D406D" w:rsidRPr="00B57FD6">
        <w:t xml:space="preserve">latest </w:t>
      </w:r>
      <w:r w:rsidRPr="00B57FD6">
        <w:t>10-K and 10-</w:t>
      </w:r>
      <w:r>
        <w:t>Q</w:t>
      </w:r>
    </w:p>
    <w:sectPr w:rsidR="00FD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10D"/>
    <w:multiLevelType w:val="hybridMultilevel"/>
    <w:tmpl w:val="D79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3125"/>
    <w:multiLevelType w:val="hybridMultilevel"/>
    <w:tmpl w:val="0EE8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8D6"/>
    <w:multiLevelType w:val="hybridMultilevel"/>
    <w:tmpl w:val="B3FE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66D3"/>
    <w:multiLevelType w:val="hybridMultilevel"/>
    <w:tmpl w:val="1682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D26E5"/>
    <w:multiLevelType w:val="hybridMultilevel"/>
    <w:tmpl w:val="9E70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E2B9D"/>
    <w:multiLevelType w:val="hybridMultilevel"/>
    <w:tmpl w:val="B76C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EB6"/>
    <w:multiLevelType w:val="hybridMultilevel"/>
    <w:tmpl w:val="73A0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7C31"/>
    <w:multiLevelType w:val="hybridMultilevel"/>
    <w:tmpl w:val="883E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A1D4C"/>
    <w:multiLevelType w:val="hybridMultilevel"/>
    <w:tmpl w:val="3E42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4560A"/>
    <w:multiLevelType w:val="hybridMultilevel"/>
    <w:tmpl w:val="20A0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73691"/>
    <w:multiLevelType w:val="hybridMultilevel"/>
    <w:tmpl w:val="1A5A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C4575"/>
    <w:multiLevelType w:val="hybridMultilevel"/>
    <w:tmpl w:val="CADC1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C0555"/>
    <w:multiLevelType w:val="hybridMultilevel"/>
    <w:tmpl w:val="7990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2043D"/>
    <w:multiLevelType w:val="hybridMultilevel"/>
    <w:tmpl w:val="6A92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20527"/>
    <w:multiLevelType w:val="hybridMultilevel"/>
    <w:tmpl w:val="9E70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57B74"/>
    <w:multiLevelType w:val="hybridMultilevel"/>
    <w:tmpl w:val="AD9A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A618D"/>
    <w:multiLevelType w:val="hybridMultilevel"/>
    <w:tmpl w:val="9E70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15BDD"/>
    <w:multiLevelType w:val="hybridMultilevel"/>
    <w:tmpl w:val="CAAE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B4224"/>
    <w:multiLevelType w:val="hybridMultilevel"/>
    <w:tmpl w:val="242E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35CDB"/>
    <w:multiLevelType w:val="hybridMultilevel"/>
    <w:tmpl w:val="0B34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D6932"/>
    <w:multiLevelType w:val="hybridMultilevel"/>
    <w:tmpl w:val="4148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0546E"/>
    <w:multiLevelType w:val="hybridMultilevel"/>
    <w:tmpl w:val="977C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6360C"/>
    <w:multiLevelType w:val="hybridMultilevel"/>
    <w:tmpl w:val="48D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8"/>
  </w:num>
  <w:num w:numId="5">
    <w:abstractNumId w:val="13"/>
  </w:num>
  <w:num w:numId="6">
    <w:abstractNumId w:val="17"/>
  </w:num>
  <w:num w:numId="7">
    <w:abstractNumId w:val="8"/>
  </w:num>
  <w:num w:numId="8">
    <w:abstractNumId w:val="12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  <w:num w:numId="16">
    <w:abstractNumId w:val="10"/>
  </w:num>
  <w:num w:numId="17">
    <w:abstractNumId w:val="21"/>
  </w:num>
  <w:num w:numId="18">
    <w:abstractNumId w:val="22"/>
  </w:num>
  <w:num w:numId="19">
    <w:abstractNumId w:val="11"/>
  </w:num>
  <w:num w:numId="20">
    <w:abstractNumId w:val="20"/>
  </w:num>
  <w:num w:numId="21">
    <w:abstractNumId w:val="14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F9"/>
    <w:rsid w:val="0000210A"/>
    <w:rsid w:val="000226E1"/>
    <w:rsid w:val="0003597A"/>
    <w:rsid w:val="00061C3C"/>
    <w:rsid w:val="000811F8"/>
    <w:rsid w:val="000838EB"/>
    <w:rsid w:val="000A4590"/>
    <w:rsid w:val="000C555B"/>
    <w:rsid w:val="000D3AA0"/>
    <w:rsid w:val="000D743B"/>
    <w:rsid w:val="000E74E0"/>
    <w:rsid w:val="000F3461"/>
    <w:rsid w:val="00151E7B"/>
    <w:rsid w:val="001C1FF4"/>
    <w:rsid w:val="00210CD7"/>
    <w:rsid w:val="00216F84"/>
    <w:rsid w:val="00235AC3"/>
    <w:rsid w:val="00235ACC"/>
    <w:rsid w:val="00245A2A"/>
    <w:rsid w:val="00251F0C"/>
    <w:rsid w:val="002706D1"/>
    <w:rsid w:val="00273C65"/>
    <w:rsid w:val="0029086D"/>
    <w:rsid w:val="002973CB"/>
    <w:rsid w:val="00297DFF"/>
    <w:rsid w:val="002C0D2F"/>
    <w:rsid w:val="002F3C60"/>
    <w:rsid w:val="002F57EC"/>
    <w:rsid w:val="00300599"/>
    <w:rsid w:val="00301287"/>
    <w:rsid w:val="003752B2"/>
    <w:rsid w:val="00430018"/>
    <w:rsid w:val="00433A56"/>
    <w:rsid w:val="004418F9"/>
    <w:rsid w:val="00444F2D"/>
    <w:rsid w:val="004A3B27"/>
    <w:rsid w:val="004E6B67"/>
    <w:rsid w:val="00520597"/>
    <w:rsid w:val="005206A8"/>
    <w:rsid w:val="005354E9"/>
    <w:rsid w:val="005448AA"/>
    <w:rsid w:val="005553B2"/>
    <w:rsid w:val="00564429"/>
    <w:rsid w:val="00577976"/>
    <w:rsid w:val="00582264"/>
    <w:rsid w:val="00586756"/>
    <w:rsid w:val="00597793"/>
    <w:rsid w:val="005A785B"/>
    <w:rsid w:val="005B5F3A"/>
    <w:rsid w:val="005C5BB9"/>
    <w:rsid w:val="005D316E"/>
    <w:rsid w:val="005D322F"/>
    <w:rsid w:val="005D7CFD"/>
    <w:rsid w:val="005F2887"/>
    <w:rsid w:val="005F41AC"/>
    <w:rsid w:val="00617F53"/>
    <w:rsid w:val="00625409"/>
    <w:rsid w:val="00625FDE"/>
    <w:rsid w:val="0064140E"/>
    <w:rsid w:val="00667EDF"/>
    <w:rsid w:val="00676D33"/>
    <w:rsid w:val="00677101"/>
    <w:rsid w:val="006A50D9"/>
    <w:rsid w:val="006A5F86"/>
    <w:rsid w:val="006B0421"/>
    <w:rsid w:val="006D6E2D"/>
    <w:rsid w:val="006E05AA"/>
    <w:rsid w:val="006E6CBC"/>
    <w:rsid w:val="006F6343"/>
    <w:rsid w:val="0070622A"/>
    <w:rsid w:val="00717151"/>
    <w:rsid w:val="0075785C"/>
    <w:rsid w:val="0076300E"/>
    <w:rsid w:val="00780595"/>
    <w:rsid w:val="007979ED"/>
    <w:rsid w:val="007A1927"/>
    <w:rsid w:val="007A3342"/>
    <w:rsid w:val="007B0A96"/>
    <w:rsid w:val="007C0530"/>
    <w:rsid w:val="007C5F8A"/>
    <w:rsid w:val="008155D9"/>
    <w:rsid w:val="00817C29"/>
    <w:rsid w:val="00825770"/>
    <w:rsid w:val="00826D0A"/>
    <w:rsid w:val="00845BDD"/>
    <w:rsid w:val="00850EFB"/>
    <w:rsid w:val="00876BD3"/>
    <w:rsid w:val="00894A52"/>
    <w:rsid w:val="008A25FC"/>
    <w:rsid w:val="008B7DEF"/>
    <w:rsid w:val="008D6485"/>
    <w:rsid w:val="008F2E5E"/>
    <w:rsid w:val="008F5FC6"/>
    <w:rsid w:val="00923906"/>
    <w:rsid w:val="00926982"/>
    <w:rsid w:val="00943359"/>
    <w:rsid w:val="009678B5"/>
    <w:rsid w:val="00973C02"/>
    <w:rsid w:val="00981051"/>
    <w:rsid w:val="009938E1"/>
    <w:rsid w:val="009B3F8D"/>
    <w:rsid w:val="009B55BA"/>
    <w:rsid w:val="009C11D5"/>
    <w:rsid w:val="009D3992"/>
    <w:rsid w:val="009D3BDD"/>
    <w:rsid w:val="009D406D"/>
    <w:rsid w:val="00A16BD3"/>
    <w:rsid w:val="00A30E78"/>
    <w:rsid w:val="00A33510"/>
    <w:rsid w:val="00A60D8A"/>
    <w:rsid w:val="00A66FED"/>
    <w:rsid w:val="00AA0A6C"/>
    <w:rsid w:val="00AA189A"/>
    <w:rsid w:val="00AB0160"/>
    <w:rsid w:val="00AB4C8F"/>
    <w:rsid w:val="00AD77AE"/>
    <w:rsid w:val="00AF1773"/>
    <w:rsid w:val="00B518B4"/>
    <w:rsid w:val="00B57FD6"/>
    <w:rsid w:val="00BD198A"/>
    <w:rsid w:val="00BD4C69"/>
    <w:rsid w:val="00BE281D"/>
    <w:rsid w:val="00C0753D"/>
    <w:rsid w:val="00C12EB3"/>
    <w:rsid w:val="00C138CA"/>
    <w:rsid w:val="00C360A1"/>
    <w:rsid w:val="00C36D19"/>
    <w:rsid w:val="00C4139B"/>
    <w:rsid w:val="00C605FE"/>
    <w:rsid w:val="00C63D78"/>
    <w:rsid w:val="00C66EDE"/>
    <w:rsid w:val="00C82342"/>
    <w:rsid w:val="00CB597B"/>
    <w:rsid w:val="00CD4369"/>
    <w:rsid w:val="00D05C2D"/>
    <w:rsid w:val="00D07EAC"/>
    <w:rsid w:val="00D227A3"/>
    <w:rsid w:val="00D26FED"/>
    <w:rsid w:val="00D45185"/>
    <w:rsid w:val="00D6088D"/>
    <w:rsid w:val="00D77C2B"/>
    <w:rsid w:val="00D8794C"/>
    <w:rsid w:val="00D91CE6"/>
    <w:rsid w:val="00DA5C2F"/>
    <w:rsid w:val="00DC18F8"/>
    <w:rsid w:val="00E15D92"/>
    <w:rsid w:val="00E32E9A"/>
    <w:rsid w:val="00E549EC"/>
    <w:rsid w:val="00E5612A"/>
    <w:rsid w:val="00E571DD"/>
    <w:rsid w:val="00E736DD"/>
    <w:rsid w:val="00E86A25"/>
    <w:rsid w:val="00E9410F"/>
    <w:rsid w:val="00E97466"/>
    <w:rsid w:val="00E97DDC"/>
    <w:rsid w:val="00EA2FE8"/>
    <w:rsid w:val="00EB71DF"/>
    <w:rsid w:val="00EC4150"/>
    <w:rsid w:val="00ED2F49"/>
    <w:rsid w:val="00EE15DF"/>
    <w:rsid w:val="00EF53B7"/>
    <w:rsid w:val="00F13F0B"/>
    <w:rsid w:val="00F40CA9"/>
    <w:rsid w:val="00F527CC"/>
    <w:rsid w:val="00F54EF4"/>
    <w:rsid w:val="00F74DA8"/>
    <w:rsid w:val="00FA6A89"/>
    <w:rsid w:val="00FD2E88"/>
    <w:rsid w:val="00FD77F9"/>
    <w:rsid w:val="00FE0C64"/>
    <w:rsid w:val="00FE76DB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59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59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42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18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0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6F8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A4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B04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E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59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59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42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18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0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6F8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A4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B04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E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3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1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5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2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4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4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4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7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4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5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01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0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2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6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5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0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8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2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0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9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6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5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3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7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6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9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5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8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5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7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4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5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8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3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2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5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9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1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9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6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5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9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5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6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9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9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5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4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0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3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5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2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6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9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7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7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1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6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9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5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2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996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9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2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4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4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3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8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2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0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5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9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2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4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0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0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6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2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ckrover.com/webinar-outli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Heroix Corp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Reisman</dc:creator>
  <cp:lastModifiedBy>Howard Reisman</cp:lastModifiedBy>
  <cp:revision>42</cp:revision>
  <dcterms:created xsi:type="dcterms:W3CDTF">2014-03-25T01:31:00Z</dcterms:created>
  <dcterms:modified xsi:type="dcterms:W3CDTF">2014-05-28T12:38:00Z</dcterms:modified>
</cp:coreProperties>
</file>